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872" w:type="pct"/>
        <w:tblInd w:w="0" w:type="dxa"/>
        <w:tblLayout w:type="fixed"/>
        <w:tblCellMar>
          <w:top w:w="0" w:type="dxa"/>
          <w:left w:w="108" w:type="dxa"/>
          <w:bottom w:w="0" w:type="dxa"/>
          <w:right w:w="108" w:type="dxa"/>
        </w:tblCellMar>
      </w:tblPr>
      <w:tblGrid>
        <w:gridCol w:w="923"/>
        <w:gridCol w:w="1327"/>
        <w:gridCol w:w="687"/>
        <w:gridCol w:w="1686"/>
        <w:gridCol w:w="1820"/>
        <w:gridCol w:w="2153"/>
        <w:gridCol w:w="1961"/>
        <w:gridCol w:w="1966"/>
        <w:gridCol w:w="1816"/>
      </w:tblGrid>
      <w:tr>
        <w:tblPrEx>
          <w:tblCellMar>
            <w:top w:w="0" w:type="dxa"/>
            <w:left w:w="108" w:type="dxa"/>
            <w:bottom w:w="0" w:type="dxa"/>
            <w:right w:w="108" w:type="dxa"/>
          </w:tblCellMar>
        </w:tblPrEx>
        <w:trPr>
          <w:trHeight w:val="1510" w:hRule="atLeast"/>
        </w:trPr>
        <w:tc>
          <w:tcPr>
            <w:tcW w:w="5000" w:type="pct"/>
            <w:gridSpan w:val="9"/>
            <w:tcBorders>
              <w:top w:val="nil"/>
              <w:left w:val="nil"/>
              <w:bottom w:val="nil"/>
              <w:right w:val="nil"/>
            </w:tcBorders>
            <w:noWrap w:val="0"/>
            <w:vAlign w:val="center"/>
          </w:tcPr>
          <w:p>
            <w:pPr>
              <w:keepNext w:val="0"/>
              <w:keepLines w:val="0"/>
              <w:widowControl/>
              <w:suppressLineNumbers w:val="0"/>
              <w:ind w:left="5421" w:hanging="5421" w:hangingChars="1500"/>
              <w:jc w:val="both"/>
              <w:textAlignment w:val="center"/>
              <w:rPr>
                <w:rFonts w:hint="default" w:ascii="黑体" w:hAnsi="宋体" w:eastAsia="黑体" w:cs="黑体"/>
                <w:b/>
                <w:bCs/>
                <w:i w:val="0"/>
                <w:iCs w:val="0"/>
                <w:color w:val="000000"/>
                <w:kern w:val="0"/>
                <w:sz w:val="44"/>
                <w:szCs w:val="44"/>
                <w:u w:val="none"/>
                <w:lang w:val="en-US" w:eastAsia="zh-CN" w:bidi="ar"/>
              </w:rPr>
            </w:pPr>
            <w:r>
              <w:rPr>
                <w:rFonts w:hint="eastAsia" w:ascii="黑体" w:hAnsi="宋体" w:eastAsia="黑体" w:cs="黑体"/>
                <w:b/>
                <w:bCs/>
                <w:i w:val="0"/>
                <w:iCs w:val="0"/>
                <w:color w:val="000000"/>
                <w:kern w:val="0"/>
                <w:sz w:val="36"/>
                <w:szCs w:val="36"/>
                <w:u w:val="none"/>
                <w:lang w:val="en-US" w:eastAsia="zh-CN" w:bidi="ar"/>
              </w:rPr>
              <w:t xml:space="preserve">附件1：            </w:t>
            </w:r>
            <w:r>
              <w:rPr>
                <w:rFonts w:hint="eastAsia" w:ascii="黑体" w:hAnsi="宋体" w:eastAsia="黑体" w:cs="黑体"/>
                <w:b/>
                <w:bCs/>
                <w:i w:val="0"/>
                <w:iCs w:val="0"/>
                <w:color w:val="000000"/>
                <w:kern w:val="0"/>
                <w:sz w:val="44"/>
                <w:szCs w:val="44"/>
                <w:u w:val="none"/>
                <w:lang w:val="en-US" w:eastAsia="zh-CN" w:bidi="ar"/>
              </w:rPr>
              <w:t>2021年怀宁县项目咨询管理有限公司</w:t>
            </w:r>
          </w:p>
          <w:p>
            <w:pPr>
              <w:keepNext w:val="0"/>
              <w:keepLines w:val="0"/>
              <w:widowControl/>
              <w:suppressLineNumbers w:val="0"/>
              <w:ind w:firstLine="4859" w:firstLineChars="1100"/>
              <w:jc w:val="both"/>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4"/>
                <w:szCs w:val="44"/>
                <w:u w:val="none"/>
                <w:lang w:val="en-US" w:eastAsia="zh-CN" w:bidi="ar"/>
              </w:rPr>
              <w:t>公开招聘工作人员岗位表</w:t>
            </w:r>
          </w:p>
        </w:tc>
      </w:tr>
      <w:tr>
        <w:tblPrEx>
          <w:tblCellMar>
            <w:top w:w="0" w:type="dxa"/>
            <w:left w:w="108" w:type="dxa"/>
            <w:bottom w:w="0" w:type="dxa"/>
            <w:right w:w="108" w:type="dxa"/>
          </w:tblCellMar>
        </w:tblPrEx>
        <w:trPr>
          <w:trHeight w:val="641" w:hRule="atLeast"/>
        </w:trPr>
        <w:tc>
          <w:tcPr>
            <w:tcW w:w="3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代码</w:t>
            </w:r>
          </w:p>
        </w:tc>
        <w:tc>
          <w:tcPr>
            <w:tcW w:w="4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岗位名称</w:t>
            </w:r>
          </w:p>
        </w:tc>
        <w:tc>
          <w:tcPr>
            <w:tcW w:w="2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人数</w:t>
            </w:r>
          </w:p>
        </w:tc>
        <w:tc>
          <w:tcPr>
            <w:tcW w:w="334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招聘条件</w:t>
            </w:r>
          </w:p>
        </w:tc>
        <w:tc>
          <w:tcPr>
            <w:tcW w:w="633"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笔试科目内容</w:t>
            </w:r>
          </w:p>
        </w:tc>
      </w:tr>
      <w:tr>
        <w:tblPrEx>
          <w:tblCellMar>
            <w:top w:w="0" w:type="dxa"/>
            <w:left w:w="108" w:type="dxa"/>
            <w:bottom w:w="0" w:type="dxa"/>
            <w:right w:w="108" w:type="dxa"/>
          </w:tblCellMar>
        </w:tblPrEx>
        <w:trPr>
          <w:trHeight w:val="766" w:hRule="atLeast"/>
        </w:trPr>
        <w:tc>
          <w:tcPr>
            <w:tcW w:w="3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专科专业</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本科专业</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加分项</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年龄及性别等相关要求</w:t>
            </w:r>
          </w:p>
        </w:tc>
        <w:tc>
          <w:tcPr>
            <w:tcW w:w="63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3409" w:hRule="atLeast"/>
        </w:trPr>
        <w:tc>
          <w:tcPr>
            <w:tcW w:w="3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代理专员</w:t>
            </w:r>
          </w:p>
        </w:tc>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全日制普通高等院校专科及以上学历</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土木建筑大类、艺术设计类、水利大类、交通运输大类</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土木类（土建类）、建筑类、管理科学与工程类、设计学类、水利类、交通运输类</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有两年及以上招标代理工作经历（须提供24个月社保证明和营业执照且经营范围包含招标代理内容）或二级及以上造价工程师的笔试成绩加2分。</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35周岁以下(男女不限)</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招标采购相关法律法规和工程管理专业知识</w:t>
            </w:r>
          </w:p>
        </w:tc>
      </w:tr>
      <w:tr>
        <w:tblPrEx>
          <w:tblCellMar>
            <w:top w:w="0" w:type="dxa"/>
            <w:left w:w="108" w:type="dxa"/>
            <w:bottom w:w="0" w:type="dxa"/>
            <w:right w:w="108" w:type="dxa"/>
          </w:tblCellMar>
        </w:tblPrEx>
        <w:trPr>
          <w:trHeight w:val="1155" w:hRule="atLeast"/>
        </w:trPr>
        <w:tc>
          <w:tcPr>
            <w:tcW w:w="5000" w:type="pct"/>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注：研究生专业各招考岗位参照前述相关专业。报考专业以《教育部关于印发〈普通高等学校本科专业目录（2020年）〉、〈普通高等学校本科专业设置管理规定〉等文件的通知》（教高[2012]9号）及《授予博士、硕士学位和培养研究生的学科、专业目录》(2018年)、普通高等学校高等职业教育(专科)专业目录为参考标准。</w:t>
            </w:r>
          </w:p>
        </w:tc>
      </w:tr>
    </w:tbl>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sectPr>
          <w:pgSz w:w="16838" w:h="11906" w:orient="landscape"/>
          <w:pgMar w:top="1803" w:right="1240" w:bottom="899" w:left="1098" w:header="851" w:footer="992" w:gutter="0"/>
          <w:cols w:space="720" w:num="1"/>
          <w:rtlGutter w:val="0"/>
          <w:docGrid w:type="lines" w:linePitch="319" w:charSpace="0"/>
        </w:sectPr>
      </w:pPr>
    </w:p>
    <w:p>
      <w:pPr>
        <w:ind w:left="1600" w:hanging="1400" w:hangingChars="500"/>
        <w:jc w:val="left"/>
      </w:pPr>
      <w:r>
        <w:rPr>
          <w:rFonts w:hint="eastAsia" w:ascii="仿宋" w:hAnsi="仿宋" w:eastAsia="仿宋" w:cs="仿宋"/>
          <w:color w:val="000000"/>
          <w:kern w:val="0"/>
          <w:sz w:val="28"/>
          <w:szCs w:val="28"/>
          <w:lang w:val="en-US" w:eastAsia="zh-CN" w:bidi="ar-SA"/>
        </w:rPr>
        <w:t xml:space="preserve"> 附件2：</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2021年怀宁县项目咨询管理有限公司公开招聘工作人员</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报名资格审查表</w:t>
      </w:r>
    </w:p>
    <w:tbl>
      <w:tblPr>
        <w:tblStyle w:val="2"/>
        <w:tblpPr w:leftFromText="180" w:rightFromText="180" w:vertAnchor="text" w:horzAnchor="page" w:tblpX="1556" w:tblpY="332"/>
        <w:tblOverlap w:val="never"/>
        <w:tblW w:w="0" w:type="auto"/>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1504"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8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bookmarkStart w:id="0" w:name="_GoBack"/>
      <w:bookmarkEnd w:id="0"/>
    </w:p>
    <w:sectPr>
      <w:pgSz w:w="11906" w:h="16838"/>
      <w:pgMar w:top="1242" w:right="899" w:bottom="110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45DB5"/>
    <w:rsid w:val="02B4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2021-10-15T08:54:00Z</dcterms:created>
  <dc:creator>strive</dc:creator>
  <cp:lastModifiedBy>strive</cp:lastModifiedBy>
  <dcterms:modified xsi:type="dcterms:W3CDTF">2021-10-15T08:54:57Z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C8CB270ED735496AAC3AD1B2328A87B9</vt:lpwstr>
  </property>
</Properties>
</file>